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center"/>
        <w:textAlignment w:val="auto"/>
        <w:rPr>
          <w:rFonts w:ascii="黑体" w:hAnsi="黑体" w:eastAsia="黑体"/>
          <w:spacing w:val="60"/>
          <w:sz w:val="32"/>
          <w:szCs w:val="32"/>
        </w:rPr>
      </w:pPr>
      <w:r>
        <w:rPr>
          <w:rFonts w:hint="eastAsia" w:ascii="仿宋" w:hAnsi="仿宋" w:eastAsia="仿宋"/>
          <w:sz w:val="32"/>
          <w:szCs w:val="32"/>
        </w:rPr>
        <w:t>宝陈农</w:t>
      </w:r>
      <w:r>
        <w:rPr>
          <w:rFonts w:hint="eastAsia" w:ascii="仿宋" w:hAnsi="仿宋" w:eastAsia="仿宋"/>
          <w:sz w:val="32"/>
          <w:szCs w:val="32"/>
          <w:lang w:eastAsia="zh-CN"/>
        </w:rPr>
        <w:t>发</w:t>
      </w:r>
      <w:r>
        <w:rPr>
          <w:rFonts w:hint="eastAsia" w:ascii="仿宋" w:hAnsi="仿宋" w:eastAsia="仿宋"/>
          <w:sz w:val="32"/>
          <w:szCs w:val="32"/>
        </w:rPr>
        <w:t>〔20</w:t>
      </w:r>
      <w:r>
        <w:rPr>
          <w:rFonts w:hint="eastAsia" w:ascii="仿宋" w:hAnsi="仿宋" w:eastAsia="仿宋"/>
          <w:sz w:val="32"/>
          <w:szCs w:val="32"/>
          <w:lang w:val="en-US" w:eastAsia="zh-CN"/>
        </w:rPr>
        <w:t>22</w:t>
      </w:r>
      <w:r>
        <w:rPr>
          <w:rFonts w:hint="eastAsia" w:ascii="仿宋" w:hAnsi="仿宋" w:eastAsia="仿宋"/>
          <w:sz w:val="32"/>
          <w:szCs w:val="32"/>
        </w:rPr>
        <w:t>〕</w:t>
      </w:r>
      <w:r>
        <w:rPr>
          <w:rFonts w:hint="eastAsia" w:ascii="仿宋" w:hAnsi="仿宋" w:eastAsia="仿宋"/>
          <w:sz w:val="32"/>
          <w:szCs w:val="32"/>
          <w:lang w:val="en-US" w:eastAsia="zh-CN"/>
        </w:rPr>
        <w:t>93</w:t>
      </w:r>
      <w:r>
        <w:rPr>
          <w:rFonts w:hint="eastAsia" w:ascii="仿宋" w:hAnsi="仿宋" w:eastAsia="仿宋"/>
          <w:sz w:val="32"/>
          <w:szCs w:val="32"/>
        </w:rPr>
        <w:t>号</w:t>
      </w:r>
    </w:p>
    <w:p>
      <w:pPr>
        <w:keepNext w:val="0"/>
        <w:keepLines w:val="0"/>
        <w:pageBreakBefore w:val="0"/>
        <w:widowControl w:val="0"/>
        <w:kinsoku/>
        <w:wordWrap/>
        <w:overflowPunct/>
        <w:topLinePunct w:val="0"/>
        <w:autoSpaceDE/>
        <w:autoSpaceDN/>
        <w:bidi w:val="0"/>
        <w:adjustRightInd/>
        <w:snapToGrid w:val="0"/>
        <w:spacing w:line="440" w:lineRule="exact"/>
        <w:ind w:firstLine="2400" w:firstLineChars="500"/>
        <w:jc w:val="center"/>
        <w:textAlignment w:val="auto"/>
        <w:rPr>
          <w:rFonts w:hint="eastAsia" w:ascii="黑体" w:hAnsi="黑体" w:eastAsia="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both"/>
        <w:textAlignment w:val="auto"/>
        <w:rPr>
          <w:rFonts w:hint="eastAsia" w:ascii="黑体" w:hAnsi="黑体" w:eastAsia="黑体" w:cs="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宝鸡市陈仓区农业</w:t>
      </w:r>
      <w:r>
        <w:rPr>
          <w:rFonts w:hint="eastAsia" w:ascii="黑体" w:hAnsi="黑体" w:eastAsia="黑体" w:cs="黑体"/>
          <w:sz w:val="36"/>
          <w:szCs w:val="36"/>
          <w:lang w:eastAsia="zh-CN"/>
        </w:rPr>
        <w:t>农村</w:t>
      </w:r>
      <w:r>
        <w:rPr>
          <w:rFonts w:hint="eastAsia" w:ascii="黑体" w:hAnsi="黑体" w:eastAsia="黑体" w:cs="黑体"/>
          <w:sz w:val="36"/>
          <w:szCs w:val="36"/>
        </w:rPr>
        <w:t>局</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eastAsia="zh-CN"/>
        </w:rPr>
        <w:t>关于</w:t>
      </w:r>
      <w:r>
        <w:rPr>
          <w:rFonts w:hint="eastAsia" w:ascii="黑体" w:hAnsi="黑体" w:eastAsia="黑体" w:cs="黑体"/>
          <w:sz w:val="36"/>
          <w:szCs w:val="36"/>
          <w:lang w:val="en-US" w:eastAsia="zh-CN"/>
        </w:rPr>
        <w:t>2022年中省财政衔接资金周原镇</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lang w:val="en-US" w:eastAsia="zh-CN"/>
        </w:rPr>
        <w:t>油坊村大田农业改造提升项目</w:t>
      </w:r>
      <w:r>
        <w:rPr>
          <w:rFonts w:hint="eastAsia" w:ascii="黑体" w:hAnsi="黑体" w:eastAsia="黑体" w:cs="黑体"/>
          <w:sz w:val="36"/>
          <w:szCs w:val="36"/>
          <w:lang w:eastAsia="zh-CN"/>
        </w:rPr>
        <w:t>实施方案</w:t>
      </w:r>
      <w:r>
        <w:rPr>
          <w:rFonts w:hint="eastAsia" w:ascii="黑体" w:hAnsi="黑体" w:eastAsia="黑体" w:cs="黑体"/>
          <w:sz w:val="36"/>
          <w:szCs w:val="36"/>
        </w:rPr>
        <w:t>的批复</w:t>
      </w:r>
    </w:p>
    <w:p>
      <w:pPr>
        <w:keepNext w:val="0"/>
        <w:keepLines w:val="0"/>
        <w:pageBreakBefore w:val="0"/>
        <w:widowControl w:val="0"/>
        <w:kinsoku/>
        <w:wordWrap/>
        <w:overflowPunct/>
        <w:topLinePunct w:val="0"/>
        <w:autoSpaceDE/>
        <w:autoSpaceDN/>
        <w:bidi w:val="0"/>
        <w:adjustRightInd/>
        <w:snapToGrid w:val="0"/>
        <w:spacing w:line="520" w:lineRule="exact"/>
        <w:ind w:firstLine="0" w:firstLineChars="0"/>
        <w:jc w:val="both"/>
        <w:textAlignment w:val="auto"/>
        <w:rPr>
          <w:rFonts w:hint="eastAsia" w:ascii="黑体" w:hAnsi="黑体" w:eastAsia="黑体" w:cs="黑体"/>
          <w:sz w:val="36"/>
          <w:szCs w:val="36"/>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firstLine="0" w:firstLineChars="0"/>
        <w:jc w:val="both"/>
        <w:textAlignment w:val="auto"/>
        <w:rPr>
          <w:rFonts w:hint="eastAsia" w:ascii="方正公文小标宋" w:hAnsi="方正公文小标宋" w:eastAsia="方正公文小标宋" w:cs="方正公文小标宋"/>
          <w:sz w:val="32"/>
          <w:szCs w:val="32"/>
        </w:rPr>
      </w:pPr>
      <w:r>
        <w:rPr>
          <w:rFonts w:hint="eastAsia" w:ascii="仿宋" w:hAnsi="仿宋" w:eastAsia="仿宋" w:cs="仿宋"/>
          <w:sz w:val="32"/>
          <w:szCs w:val="32"/>
          <w:lang w:eastAsia="zh-CN"/>
        </w:rPr>
        <w:t>周原镇人民政府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left"/>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rPr>
        <w:t>你</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关于上报油坊村大田农业改造提升</w:t>
      </w:r>
      <w:r>
        <w:rPr>
          <w:rFonts w:hint="eastAsia" w:ascii="仿宋_GB2312" w:hAnsi="仿宋_GB2312" w:eastAsia="仿宋_GB2312" w:cs="仿宋_GB2312"/>
          <w:sz w:val="32"/>
          <w:szCs w:val="32"/>
        </w:rPr>
        <w:t>项目实施方案</w:t>
      </w:r>
      <w:r>
        <w:rPr>
          <w:rFonts w:hint="eastAsia" w:ascii="仿宋_GB2312" w:hAnsi="仿宋_GB2312" w:eastAsia="仿宋_GB2312" w:cs="仿宋_GB2312"/>
          <w:sz w:val="32"/>
          <w:szCs w:val="32"/>
          <w:lang w:eastAsia="zh-CN"/>
        </w:rPr>
        <w:t>的报告</w:t>
      </w:r>
      <w:r>
        <w:rPr>
          <w:rFonts w:hint="eastAsia" w:ascii="仿宋" w:hAnsi="仿宋" w:eastAsia="仿宋" w:cs="仿宋"/>
          <w:sz w:val="32"/>
          <w:szCs w:val="32"/>
        </w:rPr>
        <w:t>》(</w:t>
      </w:r>
      <w:r>
        <w:rPr>
          <w:rFonts w:hint="eastAsia" w:ascii="仿宋" w:hAnsi="仿宋" w:eastAsia="仿宋" w:cs="仿宋"/>
          <w:sz w:val="32"/>
          <w:szCs w:val="32"/>
          <w:lang w:eastAsia="zh-CN"/>
        </w:rPr>
        <w:t>周镇政字</w:t>
      </w:r>
      <w:r>
        <w:rPr>
          <w:rFonts w:hint="eastAsia" w:ascii="仿宋" w:hAnsi="仿宋" w:eastAsia="仿宋" w:cs="仿宋"/>
          <w:color w:val="000000"/>
          <w:sz w:val="32"/>
          <w:szCs w:val="32"/>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104</w:t>
      </w:r>
      <w:r>
        <w:rPr>
          <w:rFonts w:hint="eastAsia" w:ascii="仿宋" w:hAnsi="仿宋" w:eastAsia="仿宋" w:cs="仿宋"/>
          <w:sz w:val="32"/>
          <w:szCs w:val="32"/>
        </w:rPr>
        <w:t>号</w:t>
      </w:r>
      <w:r>
        <w:rPr>
          <w:rFonts w:hint="eastAsia" w:ascii="仿宋" w:hAnsi="仿宋" w:eastAsia="仿宋" w:cs="仿宋"/>
          <w:sz w:val="32"/>
          <w:szCs w:val="32"/>
          <w:lang w:eastAsia="zh-CN"/>
        </w:rPr>
        <w:t>）</w:t>
      </w:r>
      <w:r>
        <w:rPr>
          <w:rFonts w:hint="eastAsia" w:ascii="仿宋" w:hAnsi="仿宋" w:eastAsia="仿宋" w:cs="仿宋"/>
          <w:sz w:val="32"/>
          <w:szCs w:val="32"/>
        </w:rPr>
        <w:t>收悉。</w:t>
      </w:r>
      <w:r>
        <w:rPr>
          <w:rFonts w:hint="eastAsia" w:ascii="仿宋" w:hAnsi="仿宋" w:eastAsia="仿宋" w:cs="仿宋"/>
          <w:sz w:val="32"/>
          <w:szCs w:val="32"/>
          <w:lang w:val="en-US" w:eastAsia="zh-CN"/>
        </w:rPr>
        <w:t>经3月26日宝鸡市陈仓区2022年中省财政衔接资金项目评审会公开质询评审，该项目符合项目管理规定，同意你镇实施油坊村</w:t>
      </w:r>
      <w:r>
        <w:rPr>
          <w:rFonts w:hint="eastAsia" w:ascii="仿宋_GB2312" w:hAnsi="仿宋_GB2312" w:eastAsia="仿宋_GB2312" w:cs="仿宋_GB2312"/>
          <w:sz w:val="32"/>
          <w:szCs w:val="32"/>
          <w:lang w:eastAsia="zh-CN"/>
        </w:rPr>
        <w:t>大田农业改造提升</w:t>
      </w:r>
      <w:r>
        <w:rPr>
          <w:rFonts w:hint="eastAsia" w:ascii="仿宋" w:hAnsi="仿宋" w:eastAsia="仿宋" w:cs="仿宋"/>
          <w:sz w:val="32"/>
          <w:szCs w:val="32"/>
          <w:lang w:val="en-US" w:eastAsia="zh-CN"/>
        </w:rPr>
        <w:t>项目，现批复如下：</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仿宋" w:hAnsi="仿宋" w:eastAsia="仿宋" w:cs="仿宋"/>
          <w:sz w:val="32"/>
          <w:szCs w:val="32"/>
          <w:lang w:val="en-US" w:eastAsia="zh-CN"/>
        </w:rPr>
        <w:t>一、</w:t>
      </w:r>
      <w:r>
        <w:rPr>
          <w:rFonts w:hint="eastAsia" w:ascii="黑体" w:hAnsi="黑体" w:eastAsia="黑体" w:cs="黑体"/>
          <w:sz w:val="32"/>
          <w:szCs w:val="32"/>
          <w:lang w:val="en-US" w:eastAsia="zh-CN"/>
        </w:rPr>
        <w:t>项目建设地点及内容</w:t>
      </w:r>
    </w:p>
    <w:p>
      <w:pPr>
        <w:keepNext w:val="0"/>
        <w:keepLines w:val="0"/>
        <w:pageBreakBefore w:val="0"/>
        <w:kinsoku/>
        <w:wordWrap/>
        <w:overflowPunct/>
        <w:topLinePunct w:val="0"/>
        <w:autoSpaceDE/>
        <w:autoSpaceDN/>
        <w:bidi w:val="0"/>
        <w:adjustRightInd/>
        <w:spacing w:line="50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w:t>
      </w:r>
      <w:r>
        <w:rPr>
          <w:rFonts w:hint="eastAsia" w:ascii="仿宋_GB2312" w:eastAsia="仿宋_GB2312"/>
          <w:b/>
          <w:bCs/>
          <w:sz w:val="32"/>
          <w:szCs w:val="32"/>
          <w:lang w:eastAsia="zh-CN"/>
        </w:rPr>
        <w:t>一</w:t>
      </w:r>
      <w:r>
        <w:rPr>
          <w:rFonts w:hint="eastAsia" w:ascii="仿宋_GB2312" w:eastAsia="仿宋_GB2312"/>
          <w:b/>
          <w:bCs/>
          <w:sz w:val="32"/>
          <w:szCs w:val="32"/>
        </w:rPr>
        <w:t>）建设地点</w:t>
      </w:r>
    </w:p>
    <w:p>
      <w:pPr>
        <w:keepNext w:val="0"/>
        <w:keepLines w:val="0"/>
        <w:pageBreakBefore w:val="0"/>
        <w:kinsoku/>
        <w:wordWrap/>
        <w:overflowPunct/>
        <w:topLinePunct w:val="0"/>
        <w:autoSpaceDE/>
        <w:autoSpaceDN/>
        <w:bidi w:val="0"/>
        <w:adjustRightInd/>
        <w:spacing w:line="500" w:lineRule="exact"/>
        <w:ind w:left="638" w:leftChars="304" w:firstLine="0" w:firstLineChars="0"/>
        <w:textAlignment w:val="auto"/>
        <w:rPr>
          <w:rFonts w:hint="eastAsia" w:ascii="仿宋_GB2312" w:eastAsia="仿宋_GB2312"/>
          <w:sz w:val="32"/>
          <w:szCs w:val="32"/>
        </w:rPr>
      </w:pPr>
      <w:r>
        <w:rPr>
          <w:rFonts w:hint="eastAsia" w:ascii="仿宋_GB2312" w:eastAsia="仿宋_GB2312"/>
          <w:sz w:val="32"/>
          <w:szCs w:val="32"/>
        </w:rPr>
        <w:t>农产品仓库及农机具停放的储备库位于周原镇油坊</w:t>
      </w:r>
    </w:p>
    <w:p>
      <w:pPr>
        <w:keepNext w:val="0"/>
        <w:keepLines w:val="0"/>
        <w:pageBreakBefore w:val="0"/>
        <w:kinsoku/>
        <w:wordWrap/>
        <w:overflowPunct/>
        <w:topLinePunct w:val="0"/>
        <w:autoSpaceDE/>
        <w:autoSpaceDN/>
        <w:bidi w:val="0"/>
        <w:adjustRightInd/>
        <w:spacing w:line="500" w:lineRule="exact"/>
        <w:ind w:left="638" w:leftChars="304" w:firstLine="0" w:firstLineChars="0"/>
        <w:textAlignment w:val="auto"/>
        <w:rPr>
          <w:rFonts w:hint="eastAsia" w:ascii="仿宋_GB2312" w:eastAsia="仿宋_GB2312"/>
          <w:b/>
          <w:bCs/>
          <w:sz w:val="32"/>
          <w:szCs w:val="32"/>
        </w:rPr>
      </w:pPr>
      <w:r>
        <w:rPr>
          <w:rFonts w:hint="eastAsia" w:ascii="仿宋_GB2312" w:eastAsia="仿宋_GB2312"/>
          <w:b/>
          <w:bCs/>
          <w:sz w:val="32"/>
          <w:szCs w:val="32"/>
          <w:lang w:eastAsia="zh-CN"/>
        </w:rPr>
        <w:t>（二）</w:t>
      </w:r>
      <w:r>
        <w:rPr>
          <w:rFonts w:hint="eastAsia" w:ascii="仿宋_GB2312" w:eastAsia="仿宋_GB2312"/>
          <w:b/>
          <w:bCs/>
          <w:sz w:val="32"/>
          <w:szCs w:val="32"/>
        </w:rPr>
        <w:t>建设内容</w:t>
      </w:r>
    </w:p>
    <w:p>
      <w:pPr>
        <w:keepNext w:val="0"/>
        <w:keepLines w:val="0"/>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计划建设直径11米高5米，容积500立方米地上成品玻璃钢蓄水池2座</w:t>
      </w:r>
      <w:r>
        <w:rPr>
          <w:rFonts w:hint="eastAsia" w:ascii="仿宋_GB2312" w:eastAsia="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建设辐射300亩的灌溉及水肥一体化设施设备2套，铺设供水管网1600米</w:t>
      </w:r>
      <w:r>
        <w:rPr>
          <w:rFonts w:hint="eastAsia" w:ascii="仿宋_GB2312" w:eastAsia="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建设农产品储备库一座，宽18米，长28米，高4米，面积约504平方米</w:t>
      </w:r>
      <w:r>
        <w:rPr>
          <w:rFonts w:hint="eastAsia" w:ascii="仿宋_GB2312" w:eastAsia="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购置2004农业机械拖拉机1台，1804农业机械拖拉机1台，土豆收割机、播种机、旋耕机等大型机械各1台。</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黑体" w:eastAsia="黑体"/>
          <w:sz w:val="32"/>
          <w:szCs w:val="32"/>
          <w:lang w:eastAsia="zh-CN"/>
        </w:rPr>
      </w:pPr>
      <w:r>
        <w:rPr>
          <w:rFonts w:hint="eastAsia" w:ascii="黑体" w:eastAsia="黑体"/>
          <w:sz w:val="32"/>
          <w:szCs w:val="32"/>
          <w:lang w:eastAsia="zh-CN"/>
        </w:rPr>
        <w:t>二、投资估算</w:t>
      </w:r>
    </w:p>
    <w:p>
      <w:pPr>
        <w:keepNext w:val="0"/>
        <w:keepLines w:val="0"/>
        <w:pageBreakBefore w:val="0"/>
        <w:kinsoku/>
        <w:wordWrap/>
        <w:overflowPunct/>
        <w:topLinePunct w:val="0"/>
        <w:autoSpaceDE/>
        <w:autoSpaceDN/>
        <w:bidi w:val="0"/>
        <w:adjustRightInd/>
        <w:spacing w:line="500" w:lineRule="exact"/>
        <w:ind w:firstLine="640"/>
        <w:textAlignment w:val="auto"/>
        <w:rPr>
          <w:rFonts w:hint="eastAsia" w:ascii="仿宋_GB2312" w:eastAsia="仿宋_GB2312"/>
          <w:sz w:val="32"/>
          <w:szCs w:val="32"/>
        </w:rPr>
      </w:pPr>
      <w:r>
        <w:rPr>
          <w:rFonts w:hint="eastAsia" w:ascii="仿宋_GB2312" w:eastAsia="仿宋_GB2312"/>
          <w:sz w:val="32"/>
          <w:szCs w:val="32"/>
        </w:rPr>
        <w:t>项目总投资为2200000元。</w:t>
      </w:r>
    </w:p>
    <w:p>
      <w:pPr>
        <w:keepNext w:val="0"/>
        <w:keepLines w:val="0"/>
        <w:pageBreakBefore w:val="0"/>
        <w:kinsoku/>
        <w:wordWrap/>
        <w:overflowPunct/>
        <w:topLinePunct w:val="0"/>
        <w:autoSpaceDE/>
        <w:autoSpaceDN/>
        <w:bidi w:val="0"/>
        <w:adjustRightInd/>
        <w:spacing w:line="500" w:lineRule="exact"/>
        <w:ind w:firstLine="640"/>
        <w:textAlignment w:val="auto"/>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建设</w:t>
      </w:r>
      <w:r>
        <w:rPr>
          <w:rFonts w:hint="eastAsia" w:ascii="仿宋_GB2312" w:eastAsia="仿宋_GB2312"/>
          <w:sz w:val="32"/>
          <w:szCs w:val="32"/>
        </w:rPr>
        <w:t>地上成品玻璃钢蓄水池2座</w:t>
      </w:r>
      <w:r>
        <w:rPr>
          <w:rFonts w:hint="eastAsia" w:ascii="仿宋_GB2312" w:eastAsia="仿宋_GB2312"/>
          <w:sz w:val="32"/>
          <w:szCs w:val="32"/>
          <w:lang w:eastAsia="zh-CN"/>
        </w:rPr>
        <w:t>，</w:t>
      </w:r>
      <w:r>
        <w:rPr>
          <w:rFonts w:hint="eastAsia" w:ascii="仿宋_GB2312" w:eastAsia="仿宋_GB2312"/>
          <w:sz w:val="32"/>
          <w:szCs w:val="32"/>
        </w:rPr>
        <w:t>直径11米，高5米，容积500立方米，含混凝土基础，合计141858.15元。</w:t>
      </w:r>
    </w:p>
    <w:p>
      <w:pPr>
        <w:keepNext w:val="0"/>
        <w:keepLines w:val="0"/>
        <w:pageBreakBefore w:val="0"/>
        <w:kinsoku/>
        <w:wordWrap/>
        <w:overflowPunct/>
        <w:topLinePunct w:val="0"/>
        <w:autoSpaceDE/>
        <w:autoSpaceDN/>
        <w:bidi w:val="0"/>
        <w:adjustRightInd/>
        <w:spacing w:line="500" w:lineRule="exact"/>
        <w:ind w:firstLine="640"/>
        <w:textAlignment w:val="auto"/>
        <w:rPr>
          <w:rFonts w:hint="eastAsia" w:ascii="仿宋_GB2312" w:eastAsia="仿宋_GB2312"/>
          <w:sz w:val="32"/>
          <w:szCs w:val="32"/>
          <w:lang w:eastAsia="zh-CN"/>
        </w:rPr>
      </w:pPr>
      <w:r>
        <w:rPr>
          <w:rFonts w:hint="eastAsia" w:ascii="仿宋_GB2312" w:eastAsia="仿宋_GB2312"/>
          <w:sz w:val="32"/>
          <w:szCs w:val="32"/>
        </w:rPr>
        <w:t>2.</w:t>
      </w:r>
      <w:r>
        <w:rPr>
          <w:rFonts w:hint="eastAsia" w:ascii="仿宋_GB2312" w:eastAsia="仿宋_GB2312"/>
          <w:sz w:val="32"/>
          <w:szCs w:val="32"/>
          <w:lang w:eastAsia="zh-CN"/>
        </w:rPr>
        <w:t>购置</w:t>
      </w:r>
      <w:r>
        <w:rPr>
          <w:rFonts w:hint="eastAsia" w:ascii="仿宋_GB2312" w:eastAsia="仿宋_GB2312"/>
          <w:sz w:val="32"/>
          <w:szCs w:val="32"/>
        </w:rPr>
        <w:t>灌溉及水肥一体化设施设备：铺设供水管网1600米252018.92元，首部增压系统2套92540.88元，首部过滤系统2套72435.98元，施肥系统2套50788.95元，田间控制90073.02元，田间管网系统1套142050.74元，自动化控制系统1套120983.52元，并配套电力系统97174.32元</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pacing w:line="500" w:lineRule="exact"/>
        <w:ind w:firstLine="64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土建工程493930.80元(包括农产品储备库403200元）</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pacing w:line="500" w:lineRule="exact"/>
        <w:ind w:firstLine="640"/>
        <w:textAlignment w:val="auto"/>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设备安装及其他材料费共计183844.72元。合计1595841.85元。</w:t>
      </w:r>
    </w:p>
    <w:p>
      <w:pPr>
        <w:keepNext w:val="0"/>
        <w:keepLines w:val="0"/>
        <w:pageBreakBefore w:val="0"/>
        <w:kinsoku/>
        <w:wordWrap/>
        <w:overflowPunct/>
        <w:topLinePunct w:val="0"/>
        <w:autoSpaceDE/>
        <w:autoSpaceDN/>
        <w:bidi w:val="0"/>
        <w:adjustRightInd/>
        <w:spacing w:line="500" w:lineRule="exact"/>
        <w:ind w:firstLine="640"/>
        <w:textAlignment w:val="auto"/>
        <w:rPr>
          <w:rFonts w:ascii="仿宋_GB2312" w:eastAsia="仿宋_GB2312"/>
          <w:color w:val="FF0000"/>
          <w:sz w:val="32"/>
          <w:szCs w:val="32"/>
        </w:rPr>
      </w:pPr>
      <w:r>
        <w:rPr>
          <w:rFonts w:hint="eastAsia" w:ascii="仿宋_GB2312" w:eastAsia="仿宋_GB2312"/>
          <w:color w:val="FF0000"/>
          <w:sz w:val="32"/>
          <w:szCs w:val="32"/>
          <w:lang w:val="en-US" w:eastAsia="zh-CN"/>
        </w:rPr>
        <w:t>5</w:t>
      </w:r>
      <w:r>
        <w:rPr>
          <w:rFonts w:hint="eastAsia" w:ascii="仿宋_GB2312" w:eastAsia="仿宋_GB2312"/>
          <w:color w:val="FF0000"/>
          <w:sz w:val="32"/>
          <w:szCs w:val="32"/>
        </w:rPr>
        <w:t>.</w:t>
      </w:r>
      <w:r>
        <w:rPr>
          <w:rFonts w:hint="eastAsia" w:ascii="仿宋_GB2312" w:eastAsia="仿宋_GB2312"/>
          <w:color w:val="FF0000"/>
          <w:sz w:val="32"/>
          <w:szCs w:val="32"/>
          <w:lang w:eastAsia="zh-CN"/>
        </w:rPr>
        <w:t>农业</w:t>
      </w:r>
      <w:r>
        <w:rPr>
          <w:rFonts w:hint="eastAsia" w:ascii="仿宋_GB2312" w:eastAsia="仿宋_GB2312"/>
          <w:color w:val="FF0000"/>
          <w:sz w:val="32"/>
          <w:szCs w:val="32"/>
        </w:rPr>
        <w:t>机械购置：购置2004农业机械拖拉机1台，1804农业机械拖拉机1台，土豆收割机、播种机、旋耕机等大型机械各1台，合计462300元。</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ascii="黑体" w:eastAsia="黑体"/>
          <w:sz w:val="32"/>
          <w:szCs w:val="32"/>
        </w:rPr>
      </w:pPr>
      <w:r>
        <w:rPr>
          <w:rFonts w:hint="eastAsia" w:ascii="黑体" w:eastAsia="黑体"/>
          <w:sz w:val="32"/>
          <w:szCs w:val="32"/>
          <w:lang w:eastAsia="zh-CN"/>
        </w:rPr>
        <w:t>三</w:t>
      </w:r>
      <w:r>
        <w:rPr>
          <w:rFonts w:hint="eastAsia" w:ascii="黑体" w:eastAsia="黑体"/>
          <w:sz w:val="32"/>
          <w:szCs w:val="32"/>
        </w:rPr>
        <w:t>、资金筹措方案及财政衔接资金用途</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eastAsia="仿宋_GB2312"/>
          <w:sz w:val="32"/>
          <w:szCs w:val="32"/>
        </w:rPr>
      </w:pPr>
      <w:r>
        <w:rPr>
          <w:rFonts w:hint="eastAsia" w:ascii="仿宋_GB2312" w:eastAsia="仿宋_GB2312"/>
          <w:color w:val="000000"/>
          <w:sz w:val="32"/>
          <w:szCs w:val="32"/>
        </w:rPr>
        <w:t>项目计划投资2200000元，申请</w:t>
      </w:r>
      <w:r>
        <w:rPr>
          <w:rFonts w:hint="eastAsia" w:ascii="仿宋" w:hAnsi="仿宋" w:eastAsia="仿宋"/>
          <w:sz w:val="32"/>
          <w:szCs w:val="32"/>
        </w:rPr>
        <w:t>省级</w:t>
      </w:r>
      <w:r>
        <w:rPr>
          <w:rFonts w:hint="eastAsia" w:ascii="仿宋" w:hAnsi="仿宋" w:eastAsia="仿宋" w:cs="宋体"/>
          <w:sz w:val="32"/>
          <w:szCs w:val="32"/>
        </w:rPr>
        <w:t>财政衔接</w:t>
      </w:r>
      <w:r>
        <w:rPr>
          <w:rFonts w:hint="eastAsia" w:ascii="仿宋" w:hAnsi="仿宋" w:eastAsia="仿宋"/>
          <w:sz w:val="32"/>
          <w:szCs w:val="32"/>
        </w:rPr>
        <w:t>资金</w:t>
      </w:r>
      <w:r>
        <w:rPr>
          <w:rFonts w:hint="eastAsia" w:ascii="仿宋_GB2312" w:eastAsia="仿宋_GB2312"/>
          <w:color w:val="000000"/>
          <w:sz w:val="32"/>
          <w:szCs w:val="32"/>
        </w:rPr>
        <w:t>220万元</w:t>
      </w:r>
      <w:r>
        <w:rPr>
          <w:rFonts w:hint="eastAsia" w:ascii="仿宋_GB2312" w:eastAsia="仿宋_GB2312"/>
          <w:sz w:val="32"/>
          <w:szCs w:val="32"/>
        </w:rPr>
        <w:t>，用于周原镇油坊村设施农业改造提升项目建设。</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黑体" w:eastAsia="黑体"/>
          <w:sz w:val="32"/>
          <w:szCs w:val="32"/>
          <w:lang w:eastAsia="zh-CN"/>
        </w:rPr>
      </w:pPr>
      <w:r>
        <w:rPr>
          <w:rFonts w:hint="eastAsia" w:ascii="黑体" w:eastAsia="黑体"/>
          <w:sz w:val="32"/>
          <w:szCs w:val="32"/>
          <w:lang w:eastAsia="zh-CN"/>
        </w:rPr>
        <w:t>四、项目工期安排</w:t>
      </w:r>
      <w:bookmarkStart w:id="0" w:name="_GoBack"/>
      <w:bookmarkEnd w:id="0"/>
    </w:p>
    <w:p>
      <w:pPr>
        <w:keepNext w:val="0"/>
        <w:keepLines w:val="0"/>
        <w:pageBreakBefore w:val="0"/>
        <w:kinsoku/>
        <w:wordWrap/>
        <w:overflowPunct/>
        <w:topLinePunct w:val="0"/>
        <w:autoSpaceDE/>
        <w:autoSpaceDN/>
        <w:bidi w:val="0"/>
        <w:adjustRightInd/>
        <w:spacing w:line="50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5月20日完成项目工程建设。</w:t>
      </w:r>
    </w:p>
    <w:p>
      <w:pPr>
        <w:keepNext w:val="0"/>
        <w:keepLines w:val="0"/>
        <w:pageBreakBefore w:val="0"/>
        <w:kinsoku/>
        <w:wordWrap/>
        <w:overflowPunct/>
        <w:topLinePunct w:val="0"/>
        <w:autoSpaceDE/>
        <w:autoSpaceDN/>
        <w:bidi w:val="0"/>
        <w:adjustRightInd/>
        <w:spacing w:line="50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2022年6月底前完成项目后续结算，并完成项目审计工作，开展自查验收，完善档案，镇政府负责绩效评估、资料上报。</w:t>
      </w:r>
    </w:p>
    <w:p>
      <w:pPr>
        <w:keepNext w:val="0"/>
        <w:keepLines w:val="0"/>
        <w:pageBreakBefore w:val="0"/>
        <w:kinsoku/>
        <w:wordWrap/>
        <w:overflowPunct/>
        <w:topLinePunct w:val="0"/>
        <w:autoSpaceDE/>
        <w:autoSpaceDN/>
        <w:bidi w:val="0"/>
        <w:adjustRightInd/>
        <w:spacing w:line="5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2022年7月底前完成项目施工、监理、报账及公示资料报送。</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ascii="黑体" w:eastAsia="黑体"/>
          <w:sz w:val="32"/>
          <w:szCs w:val="32"/>
        </w:rPr>
      </w:pPr>
      <w:r>
        <w:rPr>
          <w:rFonts w:hint="eastAsia" w:ascii="黑体" w:eastAsia="黑体"/>
          <w:sz w:val="32"/>
          <w:szCs w:val="32"/>
          <w:lang w:eastAsia="zh-CN"/>
        </w:rPr>
        <w:t>五</w:t>
      </w:r>
      <w:r>
        <w:rPr>
          <w:rFonts w:hint="eastAsia" w:ascii="黑体" w:eastAsia="黑体"/>
          <w:sz w:val="32"/>
          <w:szCs w:val="32"/>
        </w:rPr>
        <w:t>、对脱贫户的扶持情况</w:t>
      </w:r>
    </w:p>
    <w:p>
      <w:pPr>
        <w:pStyle w:val="3"/>
        <w:keepNext w:val="0"/>
        <w:keepLines w:val="0"/>
        <w:pageBreakBefore w:val="0"/>
        <w:kinsoku/>
        <w:wordWrap/>
        <w:overflowPunct/>
        <w:topLinePunct w:val="0"/>
        <w:autoSpaceDE/>
        <w:autoSpaceDN/>
        <w:bidi w:val="0"/>
        <w:adjustRightInd/>
        <w:spacing w:before="0" w:after="0" w:line="500" w:lineRule="exact"/>
        <w:ind w:firstLine="640" w:firstLineChars="200"/>
        <w:textAlignment w:val="auto"/>
        <w:rPr>
          <w:rFonts w:ascii="仿宋_GB2312" w:hAnsi="宋体" w:eastAsia="仿宋_GB2312" w:cs="宋体"/>
          <w:b w:val="0"/>
          <w:color w:val="000000"/>
        </w:rPr>
      </w:pPr>
      <w:r>
        <w:rPr>
          <w:rFonts w:hint="eastAsia" w:ascii="仿宋_GB2312" w:hAnsi="宋体" w:eastAsia="仿宋_GB2312" w:cs="宋体"/>
          <w:b w:val="0"/>
          <w:color w:val="000000"/>
        </w:rPr>
        <w:t>项目实施后，周原镇油坊村村级集体经济组织增加收益</w:t>
      </w:r>
      <w:r>
        <w:rPr>
          <w:rFonts w:hint="eastAsia" w:ascii="仿宋_GB2312" w:hAnsi="仿宋" w:eastAsia="仿宋_GB2312" w:cs="仿宋"/>
          <w:b w:val="0"/>
          <w:color w:val="000000"/>
          <w:kern w:val="44"/>
          <w:lang w:bidi="zh-TW"/>
        </w:rPr>
        <w:t>不低于11万元。分红所得收益70%作为村级备用基金，用于村的产业扶持、扶贫救助等，30%用于项目管护及项目新的投资建设及发展使用。</w:t>
      </w:r>
      <w:r>
        <w:rPr>
          <w:rFonts w:hint="eastAsia" w:ascii="仿宋_GB2312" w:hAnsi="宋体" w:eastAsia="仿宋_GB2312" w:cs="宋体"/>
          <w:b w:val="0"/>
          <w:color w:val="000000"/>
        </w:rPr>
        <w:t>油坊村脱贫户也可以在蔬菜园区从事蔬菜种植工作，基本工资可上浮15%，预期贫困户在园区年收入在22000元至28000元。预计带动脱贫户20人就业。</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保底年收益最低不低于项目财政总投资的5%，</w:t>
      </w:r>
      <w:r>
        <w:rPr>
          <w:rFonts w:hint="eastAsia" w:ascii="仿宋_GB2312" w:hAnsi="仿宋_GB2312" w:eastAsia="仿宋_GB2312" w:cs="仿宋_GB2312"/>
          <w:bCs/>
          <w:color w:val="000000"/>
          <w:sz w:val="32"/>
          <w:szCs w:val="32"/>
          <w:lang w:bidi="zh-TW"/>
        </w:rPr>
        <w:t>预计保底收益不低于11万元</w:t>
      </w:r>
      <w:r>
        <w:rPr>
          <w:rFonts w:hint="eastAsia" w:ascii="仿宋_GB2312" w:hAnsi="仿宋_GB2312" w:eastAsia="仿宋_GB2312" w:cs="仿宋_GB2312"/>
          <w:bCs/>
          <w:color w:val="000000"/>
          <w:sz w:val="32"/>
          <w:szCs w:val="32"/>
        </w:rPr>
        <w:t>。</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ascii="黑体" w:eastAsia="黑体"/>
          <w:sz w:val="32"/>
          <w:szCs w:val="32"/>
        </w:rPr>
      </w:pPr>
      <w:r>
        <w:rPr>
          <w:rFonts w:hint="eastAsia" w:ascii="黑体" w:eastAsia="黑体"/>
          <w:sz w:val="32"/>
          <w:szCs w:val="32"/>
        </w:rPr>
        <w:t>六、项目绩效目标</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该项目实施以后，可增加高标准大田土豆、萝卜等经济作物种植300亩，完善了大田菜种植的灌溉、施肥、仓库、机械化耕作等水平，辖区蔬菜规模化种植水平显著提高。项目新建设施设备投入运行后，年可蔬菜优质蔬菜1000吨，新增产值160万元，新增利润60万元，有效解决陈仓区设施蔬菜生产供应问题。</w:t>
      </w:r>
    </w:p>
    <w:p>
      <w:pPr>
        <w:keepNext w:val="0"/>
        <w:keepLines w:val="0"/>
        <w:pageBreakBefore w:val="0"/>
        <w:kinsoku/>
        <w:wordWrap/>
        <w:overflowPunct/>
        <w:topLinePunct w:val="0"/>
        <w:autoSpaceDE/>
        <w:autoSpaceDN/>
        <w:bidi w:val="0"/>
        <w:adjustRightInd/>
        <w:spacing w:line="500" w:lineRule="exact"/>
        <w:ind w:firstLine="643" w:firstLineChars="200"/>
        <w:textAlignment w:val="auto"/>
        <w:rPr>
          <w:rFonts w:ascii="仿宋_GB2312" w:hAnsi="宋体" w:eastAsia="仿宋_GB2312" w:cs="宋体"/>
          <w:sz w:val="32"/>
          <w:szCs w:val="32"/>
        </w:rPr>
      </w:pPr>
      <w:r>
        <w:rPr>
          <w:rFonts w:hint="eastAsia" w:ascii="仿宋_GB2312" w:hAnsi="宋体" w:eastAsia="仿宋_GB2312" w:cs="宋体"/>
          <w:b/>
          <w:bCs/>
          <w:kern w:val="44"/>
          <w:sz w:val="32"/>
          <w:szCs w:val="32"/>
          <w:lang w:bidi="zh-TW"/>
        </w:rPr>
        <w:t>1.社会效益：</w:t>
      </w:r>
      <w:r>
        <w:rPr>
          <w:rFonts w:hint="eastAsia" w:ascii="仿宋_GB2312" w:hAnsi="宋体" w:eastAsia="仿宋_GB2312" w:cs="宋体"/>
          <w:kern w:val="44"/>
          <w:sz w:val="32"/>
          <w:szCs w:val="32"/>
          <w:lang w:bidi="zh-TW"/>
        </w:rPr>
        <w:t>通过项目实施，充分利用周原镇现代农业优势资源，发挥村集体经济发展契机，</w:t>
      </w:r>
      <w:r>
        <w:rPr>
          <w:rFonts w:hint="eastAsia" w:ascii="仿宋_GB2312" w:hAnsi="宋体" w:eastAsia="仿宋_GB2312" w:cs="宋体"/>
          <w:sz w:val="32"/>
          <w:szCs w:val="32"/>
        </w:rPr>
        <w:t>项目示范基地实行规范化、标准化、规模化生产，高新技术统筹应用，辐射带动本村农户逐步融入到设施蔬菜种植产业中来，发展壮大村集体经济组织，形成区域化产业优势，走上“产业脱贫、共同致富”的乡村振兴目的。通过龙头企业的示范带动，</w:t>
      </w:r>
      <w:r>
        <w:rPr>
          <w:rFonts w:hint="eastAsia" w:ascii="仿宋_GB2312" w:hAnsi="宋体" w:eastAsia="仿宋_GB2312" w:cs="宋体"/>
          <w:kern w:val="44"/>
          <w:sz w:val="32"/>
          <w:szCs w:val="32"/>
          <w:lang w:bidi="zh-TW"/>
        </w:rPr>
        <w:t>摸索出一套适合周原镇村集体经济带动贫困户可持续发展的创新务实的乡村振兴模式。</w:t>
      </w:r>
    </w:p>
    <w:p>
      <w:pPr>
        <w:keepNext w:val="0"/>
        <w:keepLines w:val="0"/>
        <w:pageBreakBefore w:val="0"/>
        <w:kinsoku/>
        <w:wordWrap/>
        <w:overflowPunct/>
        <w:topLinePunct w:val="0"/>
        <w:autoSpaceDE/>
        <w:autoSpaceDN/>
        <w:bidi w:val="0"/>
        <w:adjustRightInd/>
        <w:spacing w:line="500" w:lineRule="exact"/>
        <w:ind w:firstLine="643" w:firstLineChars="200"/>
        <w:textAlignment w:val="auto"/>
        <w:rPr>
          <w:rFonts w:ascii="仿宋_GB2312" w:hAnsi="宋体" w:eastAsia="仿宋_GB2312" w:cs="宋体"/>
          <w:kern w:val="44"/>
          <w:sz w:val="32"/>
          <w:szCs w:val="32"/>
          <w:lang w:bidi="zh-TW"/>
        </w:rPr>
      </w:pPr>
      <w:r>
        <w:rPr>
          <w:rFonts w:hint="eastAsia" w:ascii="仿宋_GB2312" w:hAnsi="宋体" w:eastAsia="仿宋_GB2312" w:cs="宋体"/>
          <w:b/>
          <w:bCs/>
          <w:kern w:val="44"/>
          <w:sz w:val="32"/>
          <w:szCs w:val="32"/>
          <w:lang w:bidi="zh-TW"/>
        </w:rPr>
        <w:t>2.产业优势显著：</w:t>
      </w:r>
      <w:r>
        <w:rPr>
          <w:rFonts w:hint="eastAsia" w:ascii="仿宋_GB2312" w:hAnsi="宋体" w:eastAsia="仿宋_GB2312" w:cs="宋体"/>
          <w:kern w:val="44"/>
          <w:sz w:val="32"/>
          <w:szCs w:val="32"/>
          <w:lang w:bidi="zh-TW"/>
        </w:rPr>
        <w:t>通过油坊村设施农业园区的提升改造，优质大田蔬菜产品将成为周原镇乃至陈仓区的一张优质农产品名片，同时促进我区现代农业的良性发展。园区将新增就业岗位35个，年新增季节性用工80人次。全面建成后将为我镇年新增就业岗位100个，季节性用工800人次，通过村级集体经济组织收益有了切实保障。同时有效带动周边58户贫困户，户均年增收600元。</w:t>
      </w:r>
    </w:p>
    <w:p>
      <w:pPr>
        <w:pStyle w:val="4"/>
        <w:keepNext w:val="0"/>
        <w:keepLines w:val="0"/>
        <w:pageBreakBefore w:val="0"/>
        <w:widowControl/>
        <w:shd w:val="clear" w:color="auto" w:fill="FFFFFF"/>
        <w:kinsoku/>
        <w:wordWrap/>
        <w:overflowPunct/>
        <w:topLinePunct w:val="0"/>
        <w:autoSpaceDE/>
        <w:autoSpaceDN/>
        <w:bidi w:val="0"/>
        <w:adjustRightInd/>
        <w:spacing w:beforeAutospacing="0" w:afterAutospacing="0" w:line="500" w:lineRule="exact"/>
        <w:ind w:firstLine="643" w:firstLineChars="200"/>
        <w:textAlignment w:val="auto"/>
        <w:rPr>
          <w:rFonts w:ascii="仿宋_GB2312" w:hAnsi="宋体" w:eastAsia="仿宋_GB2312" w:cs="宋体"/>
          <w:b/>
          <w:bCs/>
          <w:kern w:val="44"/>
          <w:sz w:val="32"/>
          <w:szCs w:val="32"/>
          <w:lang w:bidi="zh-TW"/>
        </w:rPr>
      </w:pPr>
      <w:r>
        <w:rPr>
          <w:rFonts w:hint="eastAsia" w:ascii="仿宋_GB2312" w:hAnsi="宋体" w:eastAsia="仿宋_GB2312" w:cs="宋体"/>
          <w:b/>
          <w:bCs/>
          <w:kern w:val="44"/>
          <w:sz w:val="32"/>
          <w:szCs w:val="32"/>
          <w:lang w:bidi="zh-TW"/>
        </w:rPr>
        <w:t>3.经济效益：</w:t>
      </w:r>
      <w:r>
        <w:rPr>
          <w:rFonts w:hint="eastAsia" w:ascii="仿宋_GB2312" w:hAnsi="宋体" w:eastAsia="仿宋_GB2312" w:cs="宋体"/>
          <w:bCs/>
          <w:kern w:val="44"/>
          <w:sz w:val="32"/>
          <w:szCs w:val="32"/>
          <w:lang w:bidi="zh-TW"/>
        </w:rPr>
        <w:t>通过项目的实施，大田蔬菜种植成功向标准化、科技化、规模化转变，全面提升了设施农业的核心竞争力，预计产量提升10%，新增年利润约10万元。在项目建设过程中，可提供就业岗位15个，预计增加群众收入约6000元。项目在建成运营后，新增就业岗位20个，可解决周边群众就业问题，预计增加群众就业收入约20000-25000元/年。同时项目的建设大大提升了设施农业的生产效率，降低了生产成本，也可为周边群众新鲜优质的大田蔬菜</w:t>
      </w:r>
      <w:r>
        <w:rPr>
          <w:rFonts w:hint="eastAsia" w:ascii="仿宋_GB2312" w:hAnsi="宋体" w:eastAsia="仿宋_GB2312" w:cs="宋体"/>
          <w:kern w:val="44"/>
          <w:sz w:val="32"/>
          <w:szCs w:val="32"/>
          <w:lang w:bidi="zh-TW"/>
        </w:rPr>
        <w:t>，经济效益显著。</w:t>
      </w:r>
    </w:p>
    <w:p>
      <w:pPr>
        <w:keepNext w:val="0"/>
        <w:keepLines w:val="0"/>
        <w:pageBreakBefore w:val="0"/>
        <w:kinsoku/>
        <w:wordWrap/>
        <w:overflowPunct/>
        <w:topLinePunct w:val="0"/>
        <w:autoSpaceDE/>
        <w:autoSpaceDN/>
        <w:bidi w:val="0"/>
        <w:adjustRightInd/>
        <w:spacing w:line="500" w:lineRule="exact"/>
        <w:ind w:firstLine="803" w:firstLineChars="250"/>
        <w:textAlignment w:val="auto"/>
        <w:rPr>
          <w:rFonts w:ascii="仿宋_GB2312" w:hAnsi="宋体" w:eastAsia="仿宋_GB2312" w:cs="宋体"/>
          <w:sz w:val="32"/>
          <w:szCs w:val="32"/>
        </w:rPr>
      </w:pPr>
      <w:r>
        <w:rPr>
          <w:rFonts w:hint="eastAsia" w:ascii="仿宋_GB2312" w:hAnsi="宋体" w:eastAsia="仿宋_GB2312" w:cs="宋体"/>
          <w:b/>
          <w:bCs/>
          <w:kern w:val="44"/>
          <w:sz w:val="32"/>
          <w:szCs w:val="32"/>
          <w:lang w:bidi="zh-TW"/>
        </w:rPr>
        <w:t>4.生态效益：</w:t>
      </w:r>
      <w:r>
        <w:rPr>
          <w:rFonts w:hint="eastAsia" w:ascii="仿宋_GB2312" w:hAnsi="宋体" w:eastAsia="仿宋_GB2312" w:cs="宋体"/>
          <w:sz w:val="32"/>
          <w:szCs w:val="32"/>
        </w:rPr>
        <w:t>本项目实施后，年可消耗当地养殖户动物粪便等500吨，减少了环境污染。利用作物茎秆沼气转化消耗农业废料，生产绿色、有机大田蔬菜，生产后的沼渣是很好有机肥料，由此形成完整的生态循环。</w:t>
      </w:r>
    </w:p>
    <w:p>
      <w:pPr>
        <w:keepNext w:val="0"/>
        <w:keepLines w:val="0"/>
        <w:pageBreakBefore w:val="0"/>
        <w:widowControl w:val="0"/>
        <w:kinsoku/>
        <w:wordWrap/>
        <w:overflowPunct/>
        <w:topLinePunct w:val="0"/>
        <w:autoSpaceDE/>
        <w:autoSpaceDN/>
        <w:bidi w:val="0"/>
        <w:adjustRightInd/>
        <w:snapToGrid w:val="0"/>
        <w:spacing w:line="50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七、项目实施要求</w:t>
      </w:r>
    </w:p>
    <w:p>
      <w:pPr>
        <w:keepNext w:val="0"/>
        <w:keepLines w:val="0"/>
        <w:pageBreakBefore w:val="0"/>
        <w:kinsoku/>
        <w:wordWrap/>
        <w:overflowPunct/>
        <w:topLinePunct w:val="0"/>
        <w:autoSpaceDE/>
        <w:autoSpaceDN/>
        <w:bidi w:val="0"/>
        <w:adjustRightInd/>
        <w:snapToGrid w:val="0"/>
        <w:spacing w:line="500" w:lineRule="exact"/>
        <w:ind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夯实责任，加强项目实施管理。项目镇街要切实落实项目实施主体责任，按照省市区财政衔接资金项目管理办法及实施要求，严格落实项目库管理、招投标、公示公告等制度，规范项目事前研究、施工监理、资料整理、验收审计等过程管理。</w:t>
      </w:r>
    </w:p>
    <w:p>
      <w:pPr>
        <w:keepNext w:val="0"/>
        <w:keepLines w:val="0"/>
        <w:pageBreakBefore w:val="0"/>
        <w:kinsoku/>
        <w:wordWrap/>
        <w:overflowPunct/>
        <w:topLinePunct w:val="0"/>
        <w:autoSpaceDE/>
        <w:autoSpaceDN/>
        <w:bidi w:val="0"/>
        <w:adjustRightInd/>
        <w:snapToGrid w:val="0"/>
        <w:spacing w:line="500" w:lineRule="exact"/>
        <w:ind w:firstLine="640"/>
        <w:textAlignment w:val="auto"/>
        <w:rPr>
          <w:rFonts w:ascii="仿宋" w:hAnsi="仿宋" w:eastAsia="仿宋" w:cs="仿宋"/>
          <w:sz w:val="32"/>
          <w:szCs w:val="32"/>
        </w:rPr>
      </w:pPr>
      <w:r>
        <w:rPr>
          <w:rFonts w:hint="eastAsia" w:ascii="仿宋" w:hAnsi="仿宋" w:eastAsia="仿宋" w:cs="仿宋"/>
          <w:sz w:val="32"/>
          <w:szCs w:val="32"/>
        </w:rPr>
        <w:t>2.规范管理，管好用好项目资金。按照区财政局、区乡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keepNext w:val="0"/>
        <w:keepLines w:val="0"/>
        <w:pageBreakBefore w:val="0"/>
        <w:kinsoku/>
        <w:wordWrap/>
        <w:overflowPunct/>
        <w:topLinePunct w:val="0"/>
        <w:autoSpaceDE/>
        <w:autoSpaceDN/>
        <w:bidi w:val="0"/>
        <w:adjustRightInd/>
        <w:snapToGrid w:val="0"/>
        <w:spacing w:line="500" w:lineRule="exact"/>
        <w:ind w:firstLine="640"/>
        <w:textAlignment w:val="auto"/>
        <w:rPr>
          <w:rFonts w:ascii="仿宋" w:hAnsi="仿宋" w:eastAsia="仿宋" w:cs="仿宋"/>
          <w:sz w:val="32"/>
          <w:szCs w:val="32"/>
        </w:rPr>
      </w:pPr>
      <w:r>
        <w:rPr>
          <w:rFonts w:hint="eastAsia" w:ascii="仿宋_GB2312" w:hAnsi="仿宋_GB2312" w:eastAsia="仿宋_GB2312" w:cs="仿宋_GB2312"/>
          <w:sz w:val="32"/>
          <w:szCs w:val="32"/>
        </w:rPr>
        <w:t>3.加强协调，确保按期完成项目建设任务。项目镇街要加强实施组织协调，充分调动设计、施工、监理及项目村积极性，为项目落实施工提供有力保障，确保</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月底前完成项目建设任务、资金兑付和报账工作，接受上级检查验收。同时，提早动手做好项目资产确权移交和后期运维管理等工作。</w:t>
      </w:r>
    </w:p>
    <w:p>
      <w:pPr>
        <w:keepNext w:val="0"/>
        <w:keepLines w:val="0"/>
        <w:pageBreakBefore w:val="0"/>
        <w:widowControl w:val="0"/>
        <w:kinsoku/>
        <w:wordWrap/>
        <w:overflowPunct/>
        <w:topLinePunct w:val="0"/>
        <w:autoSpaceDE/>
        <w:autoSpaceDN/>
        <w:bidi w:val="0"/>
        <w:adjustRightInd/>
        <w:snapToGrid w:val="0"/>
        <w:spacing w:line="600" w:lineRule="atLeast"/>
        <w:ind w:left="0" w:leftChars="0" w:firstLine="3520" w:firstLineChars="11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600" w:lineRule="atLeast"/>
        <w:ind w:left="0" w:leftChars="0" w:firstLine="3520" w:firstLineChars="11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宝鸡市陈仓区农业</w:t>
      </w:r>
      <w:r>
        <w:rPr>
          <w:rFonts w:hint="eastAsia" w:ascii="仿宋" w:hAnsi="仿宋" w:eastAsia="仿宋" w:cs="仿宋"/>
          <w:sz w:val="32"/>
          <w:szCs w:val="32"/>
          <w:lang w:eastAsia="zh-CN"/>
        </w:rPr>
        <w:t>农村局</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4160" w:firstLineChars="13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19日</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both"/>
        <w:textAlignment w:val="auto"/>
        <w:rPr>
          <w:rFonts w:hint="eastAsia" w:ascii="仿宋" w:hAnsi="仿宋" w:eastAsia="仿宋" w:cs="仿宋"/>
          <w:sz w:val="32"/>
          <w:szCs w:val="32"/>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-57150</wp:posOffset>
                </wp:positionH>
                <wp:positionV relativeFrom="paragraph">
                  <wp:posOffset>263525</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4.5pt;margin-top:20.75pt;height:0pt;width:441pt;z-index:251660288;mso-width-relative:page;mso-height-relative:page;" filled="f" stroked="t" coordsize="21600,21600" o:gfxdata="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f/dhtYAAAAIAQAADwAAAAAAAAABACAAAAAiAAAAZHJzL2Rvd25yZXYueG1s&#10;UEsBAhQAFAAAAAgAh07iQK8182T6AQAA8gMAAA4AAAAAAAAAAQAgAAAAJQEAAGRycy9lMm9Eb2Mu&#10;eG1sUEsFBgAAAAAGAAYAWQEAAJEFAAAAAA==&#10;">
                <v:fill on="f" focussize="0,0"/>
                <v:stroke color="#000000" joinstyle="round"/>
                <v:imagedata o:title=""/>
                <o:lock v:ext="edit" aspectratio="f"/>
              </v:line>
            </w:pict>
          </mc:Fallback>
        </mc:AlternateContent>
      </w:r>
    </w:p>
    <w:p>
      <w:pPr>
        <w:spacing w:line="400" w:lineRule="exact"/>
        <w:ind w:firstLine="0" w:firstLineChars="0"/>
        <w:rPr>
          <w:rFonts w:hint="eastAsia" w:ascii="仿宋" w:hAnsi="仿宋" w:eastAsia="仿宋" w:cs="仿宋"/>
          <w:sz w:val="28"/>
          <w:szCs w:val="28"/>
        </w:rPr>
      </w:pPr>
      <w:r>
        <w:rPr>
          <w:rFonts w:hint="eastAsia" w:ascii="仿宋" w:hAnsi="仿宋" w:eastAsia="仿宋" w:cs="仿宋"/>
          <w:sz w:val="28"/>
          <w:szCs w:val="28"/>
        </w:rPr>
        <w:t>抄送：局各领导</w:t>
      </w:r>
    </w:p>
    <w:p>
      <w:pPr>
        <w:ind w:firstLine="0" w:firstLineChars="0"/>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-39370</wp:posOffset>
                </wp:positionH>
                <wp:positionV relativeFrom="paragraph">
                  <wp:posOffset>6985</wp:posOffset>
                </wp:positionV>
                <wp:extent cx="54864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3.1pt;margin-top:0.55pt;height:0pt;width:432pt;z-index:251659264;mso-width-relative:page;mso-height-relative:page;" filled="f" stroked="t" coordsize="21600,21600" o:gfxdata="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jKZXtMAAAAGAQAADwAAAAAAAAABACAAAAAiAAAAZHJzL2Rvd25yZXYueG1sUEsB&#10;AhQAFAAAAAgAh07iQINfQFr6AQAA8gMAAA4AAAAAAAAAAQAgAAAAIgEAAGRycy9lMm9Eb2MueG1s&#10;UEsFBgAAAAAGAAYAWQEAAI4FA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-125095</wp:posOffset>
                </wp:positionH>
                <wp:positionV relativeFrom="paragraph">
                  <wp:posOffset>313055</wp:posOffset>
                </wp:positionV>
                <wp:extent cx="5673090" cy="10795"/>
                <wp:effectExtent l="0" t="4445" r="11430" b="7620"/>
                <wp:wrapNone/>
                <wp:docPr id="2" name="直接连接符 2"/>
                <wp:cNvGraphicFramePr/>
                <a:graphic xmlns:a="http://schemas.openxmlformats.org/drawingml/2006/main">
                  <a:graphicData uri="http://schemas.microsoft.com/office/word/2010/wordprocessingShape">
                    <wps:wsp>
                      <wps:cNvCnPr/>
                      <wps:spPr>
                        <a:xfrm flipV="1">
                          <a:off x="0" y="0"/>
                          <a:ext cx="5673090" cy="1079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9.85pt;margin-top:24.65pt;height:0.85pt;width:446.7pt;z-index:251661312;mso-width-relative:page;mso-height-relative:page;" filled="f" stroked="t" coordsize="21600,21600" o:gfxdata="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mEy2tgAAAAJAQAADwAAAAAAAAABACAAAAAiAAAAZHJz&#10;L2Rvd25yZXYueG1sUEsBAhQAFAAAAAgAh07iQIuhGS8EAgAAAAQAAA4AAAAAAAAAAQAgAAAAJwEA&#10;AGRycy9lMm9Eb2MueG1sUEsFBgAAAAAGAAYAWQEAAJ0FAAAAAA==&#10;">
                <v:fill on="f" focussize="0,0"/>
                <v:stroke color="#000000" joinstyle="round"/>
                <v:imagedata o:title=""/>
                <o:lock v:ext="edit" aspectratio="f"/>
              </v:line>
            </w:pict>
          </mc:Fallback>
        </mc:AlternateContent>
      </w:r>
      <w:r>
        <w:rPr>
          <w:rFonts w:hint="eastAsia" w:ascii="仿宋" w:hAnsi="仿宋" w:eastAsia="仿宋" w:cs="仿宋"/>
          <w:sz w:val="28"/>
          <w:szCs w:val="28"/>
        </w:rPr>
        <w:t>宝鸡市陈仓区农业</w:t>
      </w:r>
      <w:r>
        <w:rPr>
          <w:rFonts w:hint="eastAsia" w:ascii="仿宋" w:hAnsi="仿宋" w:eastAsia="仿宋" w:cs="仿宋"/>
          <w:sz w:val="28"/>
          <w:szCs w:val="28"/>
          <w:lang w:eastAsia="zh-CN"/>
        </w:rPr>
        <w:t>农村</w:t>
      </w:r>
      <w:r>
        <w:rPr>
          <w:rFonts w:hint="eastAsia" w:ascii="仿宋" w:hAnsi="仿宋" w:eastAsia="仿宋" w:cs="仿宋"/>
          <w:sz w:val="28"/>
          <w:szCs w:val="28"/>
        </w:rPr>
        <w:t>局                  20</w:t>
      </w:r>
      <w:r>
        <w:rPr>
          <w:rFonts w:hint="eastAsia" w:ascii="仿宋" w:hAnsi="仿宋" w:eastAsia="仿宋" w:cs="仿宋"/>
          <w:sz w:val="28"/>
          <w:szCs w:val="28"/>
          <w:lang w:val="en-US" w:eastAsia="zh-CN"/>
        </w:rPr>
        <w:t>22</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19</w:t>
      </w:r>
      <w:r>
        <w:rPr>
          <w:rFonts w:hint="eastAsia" w:ascii="仿宋" w:hAnsi="仿宋" w:eastAsia="仿宋" w:cs="仿宋"/>
          <w:sz w:val="28"/>
          <w:szCs w:val="28"/>
        </w:rPr>
        <w:t>日印</w:t>
      </w:r>
      <w:r>
        <w:rPr>
          <w:rFonts w:hint="eastAsia" w:ascii="仿宋" w:hAnsi="仿宋" w:eastAsia="仿宋" w:cs="仿宋"/>
          <w:sz w:val="30"/>
          <w:szCs w:val="30"/>
        </w:rPr>
        <w:t>发</w:t>
      </w:r>
      <w:r>
        <w:rPr>
          <w:rFonts w:ascii="??_GB2312" w:eastAsia="Times New Roman"/>
          <w:sz w:val="30"/>
          <w:szCs w:val="30"/>
        </w:rPr>
        <w:t xml:space="preserve"> </w:t>
      </w:r>
      <w:r>
        <w:rPr>
          <w:rFonts w:ascii="??_GB2312" w:eastAsia="Times New Roman"/>
          <w:sz w:val="32"/>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7F81F8-DB2B-46D4-89C8-F8E87E7ADA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2" w:fontKey="{2366D42D-2FC4-4F37-9A9F-9A532F54A372}"/>
  </w:font>
  <w:font w:name="方正公文小标宋">
    <w:panose1 w:val="02000500000000000000"/>
    <w:charset w:val="86"/>
    <w:family w:val="auto"/>
    <w:pitch w:val="default"/>
    <w:sig w:usb0="A00002BF" w:usb1="38CF7CFA" w:usb2="00000016" w:usb3="00000000" w:csb0="00040001" w:csb1="00000000"/>
    <w:embedRegular r:id="rId3" w:fontKey="{23659715-9E68-4CDB-AA36-9EB709603CC7}"/>
  </w:font>
  <w:font w:name="仿宋_GB2312">
    <w:altName w:val="仿宋"/>
    <w:panose1 w:val="02010609030101010101"/>
    <w:charset w:val="86"/>
    <w:family w:val="modern"/>
    <w:pitch w:val="default"/>
    <w:sig w:usb0="00000000" w:usb1="00000000" w:usb2="00000000" w:usb3="00000000" w:csb0="00040000" w:csb1="00000000"/>
    <w:embedRegular r:id="rId4" w:fontKey="{6FE7A022-9BCC-4A85-96FB-5116CF53FE2D}"/>
  </w:font>
  <w:font w:name="??_GB2312">
    <w:altName w:val="Times New Roman"/>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4ZTQ0ZGRlMDlhM2NmMThmZTM3MDIwNzQ4ZGEzMzQifQ=="/>
  </w:docVars>
  <w:rsids>
    <w:rsidRoot w:val="00000000"/>
    <w:rsid w:val="013C1960"/>
    <w:rsid w:val="015964E2"/>
    <w:rsid w:val="016A71AA"/>
    <w:rsid w:val="01B7106F"/>
    <w:rsid w:val="025020A0"/>
    <w:rsid w:val="031C7C80"/>
    <w:rsid w:val="037305A7"/>
    <w:rsid w:val="041939F1"/>
    <w:rsid w:val="04BA2E5A"/>
    <w:rsid w:val="04BF1E96"/>
    <w:rsid w:val="05466DC0"/>
    <w:rsid w:val="056412FD"/>
    <w:rsid w:val="05B9667F"/>
    <w:rsid w:val="072C3F89"/>
    <w:rsid w:val="080B69A0"/>
    <w:rsid w:val="089C056F"/>
    <w:rsid w:val="08B57E78"/>
    <w:rsid w:val="09560185"/>
    <w:rsid w:val="0985240E"/>
    <w:rsid w:val="099B2467"/>
    <w:rsid w:val="09CB4464"/>
    <w:rsid w:val="0B2154E5"/>
    <w:rsid w:val="0B3D6714"/>
    <w:rsid w:val="0B427524"/>
    <w:rsid w:val="0B7D1CB4"/>
    <w:rsid w:val="0BD22140"/>
    <w:rsid w:val="0C4C36FE"/>
    <w:rsid w:val="0D570D57"/>
    <w:rsid w:val="0D9151F5"/>
    <w:rsid w:val="0E60552E"/>
    <w:rsid w:val="0EFE4CA4"/>
    <w:rsid w:val="0F0A795A"/>
    <w:rsid w:val="0F2272B2"/>
    <w:rsid w:val="0F6D0294"/>
    <w:rsid w:val="0F8946C7"/>
    <w:rsid w:val="0FB70A4A"/>
    <w:rsid w:val="122B57EE"/>
    <w:rsid w:val="12E85031"/>
    <w:rsid w:val="13EE3647"/>
    <w:rsid w:val="15046177"/>
    <w:rsid w:val="169466EC"/>
    <w:rsid w:val="16C775D8"/>
    <w:rsid w:val="1828475E"/>
    <w:rsid w:val="18620509"/>
    <w:rsid w:val="19730CD4"/>
    <w:rsid w:val="19815045"/>
    <w:rsid w:val="19AB16D4"/>
    <w:rsid w:val="1A4928F0"/>
    <w:rsid w:val="1ACD68AD"/>
    <w:rsid w:val="1C1045F2"/>
    <w:rsid w:val="1C890C76"/>
    <w:rsid w:val="1D30319E"/>
    <w:rsid w:val="1F0C0750"/>
    <w:rsid w:val="1F2145E9"/>
    <w:rsid w:val="1F307B53"/>
    <w:rsid w:val="1FB51BA8"/>
    <w:rsid w:val="20406AE2"/>
    <w:rsid w:val="20422FC2"/>
    <w:rsid w:val="208E5716"/>
    <w:rsid w:val="20B935BA"/>
    <w:rsid w:val="20E47DFA"/>
    <w:rsid w:val="211C634F"/>
    <w:rsid w:val="212E3875"/>
    <w:rsid w:val="240F5891"/>
    <w:rsid w:val="24247092"/>
    <w:rsid w:val="249F6004"/>
    <w:rsid w:val="24DE4884"/>
    <w:rsid w:val="25C916A3"/>
    <w:rsid w:val="26BB59F0"/>
    <w:rsid w:val="27827809"/>
    <w:rsid w:val="28C12475"/>
    <w:rsid w:val="28F151FC"/>
    <w:rsid w:val="2A43792E"/>
    <w:rsid w:val="2A8B5F4F"/>
    <w:rsid w:val="2C1F0FAA"/>
    <w:rsid w:val="2E241E69"/>
    <w:rsid w:val="2F920BC1"/>
    <w:rsid w:val="3002590A"/>
    <w:rsid w:val="307F42DA"/>
    <w:rsid w:val="31487804"/>
    <w:rsid w:val="31A2351D"/>
    <w:rsid w:val="32837FE3"/>
    <w:rsid w:val="32CC03D3"/>
    <w:rsid w:val="334D63D9"/>
    <w:rsid w:val="338318B1"/>
    <w:rsid w:val="33CA43F0"/>
    <w:rsid w:val="34704DCB"/>
    <w:rsid w:val="34762254"/>
    <w:rsid w:val="3532384A"/>
    <w:rsid w:val="36FE3E72"/>
    <w:rsid w:val="37773AD4"/>
    <w:rsid w:val="38B67E28"/>
    <w:rsid w:val="39543BF7"/>
    <w:rsid w:val="398B4DB2"/>
    <w:rsid w:val="3A984D80"/>
    <w:rsid w:val="3ABC2193"/>
    <w:rsid w:val="3AF464EB"/>
    <w:rsid w:val="3BED577A"/>
    <w:rsid w:val="3E7A03FD"/>
    <w:rsid w:val="3EC34B32"/>
    <w:rsid w:val="3F8101D4"/>
    <w:rsid w:val="3FA550A3"/>
    <w:rsid w:val="40AE2759"/>
    <w:rsid w:val="41711E74"/>
    <w:rsid w:val="43032E72"/>
    <w:rsid w:val="432861C5"/>
    <w:rsid w:val="449A48D6"/>
    <w:rsid w:val="45B02A52"/>
    <w:rsid w:val="474811FD"/>
    <w:rsid w:val="47FE778A"/>
    <w:rsid w:val="48BE2FC1"/>
    <w:rsid w:val="4B0A0ABA"/>
    <w:rsid w:val="4CF60FAF"/>
    <w:rsid w:val="4CFA148B"/>
    <w:rsid w:val="4D4F4BC7"/>
    <w:rsid w:val="4E497EF3"/>
    <w:rsid w:val="4FAB13F1"/>
    <w:rsid w:val="52082081"/>
    <w:rsid w:val="52E00474"/>
    <w:rsid w:val="5343652A"/>
    <w:rsid w:val="5523404F"/>
    <w:rsid w:val="55B85DD6"/>
    <w:rsid w:val="566A6423"/>
    <w:rsid w:val="59A4342A"/>
    <w:rsid w:val="5A98175F"/>
    <w:rsid w:val="5BCA4C2E"/>
    <w:rsid w:val="5C6E0D7C"/>
    <w:rsid w:val="5CAD7D03"/>
    <w:rsid w:val="5D5340D1"/>
    <w:rsid w:val="5DD96821"/>
    <w:rsid w:val="5DDE09B4"/>
    <w:rsid w:val="5E160887"/>
    <w:rsid w:val="61096C1C"/>
    <w:rsid w:val="61784244"/>
    <w:rsid w:val="62226B6A"/>
    <w:rsid w:val="642632E3"/>
    <w:rsid w:val="64FE654E"/>
    <w:rsid w:val="667C054B"/>
    <w:rsid w:val="66F57B61"/>
    <w:rsid w:val="68FC4651"/>
    <w:rsid w:val="69031739"/>
    <w:rsid w:val="69615E07"/>
    <w:rsid w:val="697932C0"/>
    <w:rsid w:val="6AC87D14"/>
    <w:rsid w:val="6B0D09C4"/>
    <w:rsid w:val="6B1A10E9"/>
    <w:rsid w:val="6B966854"/>
    <w:rsid w:val="6BB46DCF"/>
    <w:rsid w:val="6BF84629"/>
    <w:rsid w:val="6C37445E"/>
    <w:rsid w:val="6DF908E0"/>
    <w:rsid w:val="6E945EF0"/>
    <w:rsid w:val="6EE17098"/>
    <w:rsid w:val="70C95A3E"/>
    <w:rsid w:val="717B7E19"/>
    <w:rsid w:val="74D97A75"/>
    <w:rsid w:val="762E49EE"/>
    <w:rsid w:val="76682BC7"/>
    <w:rsid w:val="76C2531B"/>
    <w:rsid w:val="7783304D"/>
    <w:rsid w:val="79B5154E"/>
    <w:rsid w:val="79BA420C"/>
    <w:rsid w:val="7A2C01C1"/>
    <w:rsid w:val="7A703437"/>
    <w:rsid w:val="7AA04DB2"/>
    <w:rsid w:val="7BB41D3A"/>
    <w:rsid w:val="7CBB698C"/>
    <w:rsid w:val="7D0E6CF9"/>
    <w:rsid w:val="7D870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rFonts w:ascii="Calibri" w:hAnsi="Calibri" w:eastAsia="宋体" w:cs="Times New Roman"/>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exact"/>
      <w:jc w:val="center"/>
    </w:pPr>
    <w:rPr>
      <w:rFonts w:ascii="方正小标宋简体" w:hAnsi="华文中宋" w:eastAsia="方正小标宋简体"/>
      <w:b/>
      <w:sz w:val="44"/>
      <w:szCs w:val="44"/>
    </w:rPr>
  </w:style>
  <w:style w:type="paragraph" w:styleId="4">
    <w:name w:val="Normal (Web)"/>
    <w:basedOn w:val="1"/>
    <w:qFormat/>
    <w:uiPriority w:val="0"/>
    <w:pPr>
      <w:spacing w:beforeAutospacing="1" w:afterAutospacing="1"/>
      <w:jc w:val="left"/>
    </w:pPr>
    <w:rPr>
      <w:rFonts w:ascii="Calibri" w:hAnsi="Calibri" w:eastAsia="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缩进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2214</Words>
  <Characters>2475</Characters>
  <Lines>0</Lines>
  <Paragraphs>0</Paragraphs>
  <TotalTime>4</TotalTime>
  <ScaleCrop>false</ScaleCrop>
  <LinksUpToDate>false</LinksUpToDate>
  <CharactersWithSpaces>2496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天高云淡</cp:lastModifiedBy>
  <cp:lastPrinted>2022-04-27T02:50:00Z</cp:lastPrinted>
  <dcterms:modified xsi:type="dcterms:W3CDTF">2022-04-28T02:44:49Z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FCB05AD44D384154892198C841974FB6</vt:lpwstr>
  </property>
  <property fmtid="{D5CDD505-2E9C-101B-9397-08002B2CF9AE}" pid="4" name="commondata">
    <vt:lpwstr>eyJoZGlkIjoiZmE4ZTQ0ZGRlMDlhM2NmMThmZTM3MDIwNzQ4ZGEzMzQifQ==</vt:lpwstr>
  </property>
</Properties>
</file>